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HighFlow Energy – Data &amp; Privacy Consent – Bring Your Own Battery – 10 Years Bill Free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consent explains how HighFlow Energy Pty Ltd and [Retailer] collect, use and share your data when you participate in the Bring Your Own Battery – 10 Years Bill Free offer and associated VPP program.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Types of Data Collected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collect: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Identification and contact details (name, address, email, phone);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Metering data (import/export volumes, interval data);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Battery and solar data (state-of-charge, power, voltage, alarms, fault codes);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Network and site information (NMI, DNSP, tariff, protection settings);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Usage patterns and response to control signals.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Purposes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data may be used for: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Operating and optimising the VPP and your Bill Free offer;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Billing and settlement between you, the Retailer, HighFlow and market bodies;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energy, network and market rules;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Analytics, forecasting, and product design;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Reporting to funding bodies or partners in aggregate or de-identified form.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Disclosure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disclose your data to: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The Retailer and their service providers;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Your DNSP and market operators (e.g. AEMO) where required;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Our IT and analytics providers under strict confidentiality;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Regulators and ombudsman services if a complaint or investigation arises.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not sell your personal information to third parties.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Storage and Security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data will be stored in secure systems located in Australia or approved overseas locations subject to appropriate safeguards, in accordance with privacy laws.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Access and Correction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request access to your personal information and ask us to correct any inaccuracies by contacting us at: [contact details].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Consent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you consent to the collection, use and sharing of your data as described in this form and our Privacy Policy, as a condition of participating in the Bring Your Own Battery – 10 Years Bill Free offer and VPP.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Customer name: 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Signature: _______________________ Date: ___ / ___ / 20__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