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(Residential Electricity – Bring Your Own Battery 10 Years Bill Free)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HighFlow Energy Retail Pty Ltd</w:t>
        <w:br w:type="textWrapping"/>
        <w:t xml:space="preserve"> ABN XX XXX XXX XXX</w:t>
        <w:br w:type="textWrapping"/>
        <w:t xml:space="preserve"> Residential Electricity Market Retail Contract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Bring Your Own Battery – 10 Years Bill Free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 1 – Key Information (AER style summary)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Who we are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Retailer: HighFlow Energy Retail Pty Ltd (ABN XX XXX XXX XXX) (“we”, “us”, “our”).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We are authorised to sell electricity to small customers in New South Wales and Queensland under the National Energy Retail Law and Rules (where they apply) and relevant state legislation.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Who your distributor is</w:t>
        <w:br w:type="textWrapping"/>
        <w:t xml:space="preserve"> Your local electricity distributor owns and operates the poles and wires that deliver electricity to your home. In NSW this may be Ausgrid, Endeavour Energy or Essential Energy; in QLD this may be Energex or Ergon Energy Network, depending on where you live.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Our offer – Bring Your Own Battery – 10 Years Bill Free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10-year “Bill Free Period” where:</w:t>
      </w:r>
    </w:p>
    <w:p w:rsidR="00000000" w:rsidDel="00000000" w:rsidP="00000000" w:rsidRDefault="00000000" w:rsidRPr="00000000" w14:paraId="0000000A">
      <w:pPr>
        <w:numPr>
          <w:ilvl w:val="2"/>
          <w:numId w:val="9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Usage up to 600 kWh per billing month is charged at $0;</w:t>
      </w:r>
    </w:p>
    <w:p w:rsidR="00000000" w:rsidDel="00000000" w:rsidP="00000000" w:rsidRDefault="00000000" w:rsidRPr="00000000" w14:paraId="0000000B">
      <w:pPr>
        <w:numPr>
          <w:ilvl w:val="2"/>
          <w:numId w:val="9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Daily supply charge = $0;</w:t>
      </w:r>
    </w:p>
    <w:p w:rsidR="00000000" w:rsidDel="00000000" w:rsidP="00000000" w:rsidRDefault="00000000" w:rsidRPr="00000000" w14:paraId="0000000C">
      <w:pPr>
        <w:numPr>
          <w:ilvl w:val="2"/>
          <w:numId w:val="9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Network/distribution charges on this usage = $0 (we absorb them);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Usage above 600 kWh per month is charged at $0.20/kWh (incl. GST) or as updated in your Price Schedule.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Bring Your Own Bill Free Offer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must bring your own battery (min. 20 kWh usable) and have ≥ 6.6 kW solar, connect to the HighFlow VPP, and stay with us as your retailer.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Cooling-off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You have a 10 business day cooling-off period from the date you receive this contract, in line with energy law.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Complaints and hardship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You can contact us if you have a complaint or financial difficulty. If we can’t resolve your complaint, you can contact: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Energy &amp; Water Ombudsman NSW (EWON) – 1800 246 545, www.ewon.com.au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afterAutospacing="0" w:lineRule="auto"/>
        <w:ind w:left="2160" w:hanging="360"/>
      </w:pPr>
      <w:r w:rsidDel="00000000" w:rsidR="00000000" w:rsidRPr="00000000">
        <w:rPr>
          <w:rtl w:val="0"/>
        </w:rPr>
        <w:t xml:space="preserve">Energy &amp; Water Ombudsman QLD (EWOQ) – 1800 662 837, www.ewoq.com.au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This summary is not the full contract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The full terms are set out in the rest of this document and in the Schedules, which you should read carefully.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 2 – General Terms and Conditions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Definitions and interpretation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key terms: </w:t>
      </w:r>
      <w:r w:rsidDel="00000000" w:rsidR="00000000" w:rsidRPr="00000000">
        <w:rPr>
          <w:i w:val="1"/>
          <w:iCs w:val="1"/>
          <w:rtl w:val="0"/>
        </w:rPr>
        <w:t xml:space="preserve">Bill Free Period, Monthly Cap, Excess Energy Charge, Eligible Battery, VPP Agreement, Premises, Distributor, NERL, NERR</w:t>
      </w:r>
      <w:r w:rsidDel="00000000" w:rsidR="00000000" w:rsidRPr="00000000">
        <w:rPr>
          <w:rtl w:val="0"/>
        </w:rPr>
        <w:t xml:space="preserve"> etc. (You can reuse the definitions we drafted in the earlier “Bill Free Schedule” and drop them here.)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Commencement of this Contract</w:t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The contract starts when:</w:t>
      </w:r>
    </w:p>
    <w:p w:rsidR="00000000" w:rsidDel="00000000" w:rsidP="00000000" w:rsidRDefault="00000000" w:rsidRPr="00000000" w14:paraId="0000001D">
      <w:pPr>
        <w:numPr>
          <w:ilvl w:val="1"/>
          <w:numId w:val="18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You accept this offer (online, phone, or signed form); and</w:t>
      </w:r>
    </w:p>
    <w:p w:rsidR="00000000" w:rsidDel="00000000" w:rsidP="00000000" w:rsidRDefault="00000000" w:rsidRPr="00000000" w14:paraId="0000001E">
      <w:pPr>
        <w:numPr>
          <w:ilvl w:val="1"/>
          <w:numId w:val="18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Your cooling-off period expires; and</w:t>
      </w:r>
    </w:p>
    <w:p w:rsidR="00000000" w:rsidDel="00000000" w:rsidP="00000000" w:rsidRDefault="00000000" w:rsidRPr="00000000" w14:paraId="0000001F">
      <w:pPr>
        <w:numPr>
          <w:ilvl w:val="1"/>
          <w:numId w:val="18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Your site is transferred to us in the market systems.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Our obligation to supply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We will arrange for your Distributor to supply electricity to your Premises and sell it to you, subject to:</w:t>
      </w:r>
    </w:p>
    <w:p w:rsidR="00000000" w:rsidDel="00000000" w:rsidP="00000000" w:rsidRDefault="00000000" w:rsidRPr="00000000" w14:paraId="00000022">
      <w:pPr>
        <w:numPr>
          <w:ilvl w:val="1"/>
          <w:numId w:val="1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You meeting our eligibility criteria;</w:t>
      </w:r>
    </w:p>
    <w:p w:rsidR="00000000" w:rsidDel="00000000" w:rsidP="00000000" w:rsidRDefault="00000000" w:rsidRPr="00000000" w14:paraId="00000023">
      <w:pPr>
        <w:numPr>
          <w:ilvl w:val="1"/>
          <w:numId w:val="14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Network connection remaining available;</w:t>
      </w:r>
    </w:p>
    <w:p w:rsidR="00000000" w:rsidDel="00000000" w:rsidP="00000000" w:rsidRDefault="00000000" w:rsidRPr="00000000" w14:paraId="00000024">
      <w:pPr>
        <w:numPr>
          <w:ilvl w:val="1"/>
          <w:numId w:val="14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Any planned or unplanned interruptions by the Distributor.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Eligibility for the Bill Free offer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explicit conditions: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Premises is in NSW or QLD in an area we serve.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own or control an Eligible Battery (≥20 kWh usable) and solar system ≥6.6 kW, installed to relevant standards.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You have signed and comply with the VPP Market Services Agreement with HighFlow.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Our EMS/VPP gateway is installed and online.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You remain our retail customer for the Premises.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 clearly that if eligibility fails, you revert to a standard tariff (set out in Price Schedule) and the Bill Free Period may end early.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Price, tariffs and charges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Explain that your prices are set out in Schedule 1 – Price Schedule.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Summarise the special Bill Free structure (0 charges up to cap, excess rate above).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Clarify non-energy fees (disconnection, special meter reads, paper bills, dishonours, etc).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Billing and payment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Billing frequency (e.g. monthly or quarterly).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Information included on bills.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Payment due date and accepted methods.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Reference to Direct Debit Request where applicable.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Treatment of under/overcharging consistent with NERR.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Direct debit and payment difficulties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Cross-reference the Direct Debit Request &amp; Service Agreement.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Note that hardship customers will be considered under the HighFlow Hardship Policy.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Life support and planned/unplanned interruptions</w:t>
      </w:r>
    </w:p>
    <w:p w:rsidR="00000000" w:rsidDel="00000000" w:rsidP="00000000" w:rsidRDefault="00000000" w:rsidRPr="00000000" w14:paraId="0000003B">
      <w:pPr>
        <w:numPr>
          <w:ilvl w:val="0"/>
          <w:numId w:val="2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Note obligations regarding life support equipment (customer to notify; we notify distributor).</w:t>
      </w:r>
    </w:p>
    <w:p w:rsidR="00000000" w:rsidDel="00000000" w:rsidP="00000000" w:rsidRDefault="00000000" w:rsidRPr="00000000" w14:paraId="0000003C">
      <w:pPr>
        <w:numPr>
          <w:ilvl w:val="0"/>
          <w:numId w:val="2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Refer to your separate Life Support Policy document.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 Your obligations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Provide accurate information, keep contact details up to date, ensure safe access, not tamper with supply or metering, etc.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 Bill Free Period and early termination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10-year term, subject to early termination triggers (move out, change retailer, removing battery, persistent non-payment, regulatory change).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If the Bill Free aspect ends, contract may continue on a standard market offer.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Any Early Termination Fees must be reasonable and set out in Schedule 2.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 Disconnections and reconnections</w:t>
      </w:r>
    </w:p>
    <w:p w:rsidR="00000000" w:rsidDel="00000000" w:rsidP="00000000" w:rsidRDefault="00000000" w:rsidRPr="00000000" w14:paraId="00000044">
      <w:pPr>
        <w:numPr>
          <w:ilvl w:val="0"/>
          <w:numId w:val="2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When we may arrange disconnection (non-payment, request, illegal use) in accordance with NERL/NERR and state law.</w:t>
      </w:r>
    </w:p>
    <w:p w:rsidR="00000000" w:rsidDel="00000000" w:rsidP="00000000" w:rsidRDefault="00000000" w:rsidRPr="00000000" w14:paraId="00000045">
      <w:pPr>
        <w:numPr>
          <w:ilvl w:val="0"/>
          <w:numId w:val="2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How reconnection works and relevant fees.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12. Complaints and dispute resolution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Internal complaints steps and timeframes.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External dispute resolution via EWON/EWOQ (contact info again).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13. Privacy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We handle personal and metering data per our Privacy Policy and applicable privacy laws.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Cross-reference your Data &amp; Privacy Consent form.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14. Changes to this contract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When and how we can vary tariffs and non-price terms.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Obligation to notify you per energy rules.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15. Assignment and transfer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Our right to transfer the contract to another authorised retailer (e.g. sale of business) in accordance with law.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What happens on your move-out.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16. Governing law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NSW law for NSW Premises; QLD law for QLD Premises.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1 – Price Schedule (Bill Free Offer Template)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HighFlow Energy – Price Schedule – Bring Your Own Battery – 10 Years Bill Free</w:t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Supply region: ☐ NSW – Ausgrid ☐ NSW – Endeavour ☐ NSW – Essential</w:t>
        <w:br w:type="textWrapping"/>
        <w:t xml:space="preserve"> ☐ QLD – Energex ☐ QLD – Ergon Energy Network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Bill Free Components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Daily supply charge: $0.00 / day (during Bill Free Period, while eligible)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Usage charge (any time-of-use / incl. GST):</w:t>
      </w:r>
    </w:p>
    <w:p w:rsidR="00000000" w:rsidDel="00000000" w:rsidP="00000000" w:rsidRDefault="00000000" w:rsidRPr="00000000" w14:paraId="0000005A">
      <w:pPr>
        <w:numPr>
          <w:ilvl w:val="1"/>
          <w:numId w:val="12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Up to 600 kWh per billing month: $0.00 / kWh</w:t>
      </w:r>
    </w:p>
    <w:p w:rsidR="00000000" w:rsidDel="00000000" w:rsidP="00000000" w:rsidRDefault="00000000" w:rsidRPr="00000000" w14:paraId="0000005B">
      <w:pPr>
        <w:numPr>
          <w:ilvl w:val="1"/>
          <w:numId w:val="12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Above 600 kWh per billing month: $0.20 / kWh (Excess Energy Charge – can be updated here over time)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Solar exports / FIT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Option A: No separate FIT – export value retained by HighFlow to help fund the Bill Free offer.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Option B: Feed-in tariff: $X.XX / kWh (if you choose to offer one).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fees (examples – adjust to your final schedule)</w:t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Disconnection at customer request: $XX.XX</w:t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Reconnection: $XX.XX</w:t>
      </w:r>
    </w:p>
    <w:p w:rsidR="00000000" w:rsidDel="00000000" w:rsidP="00000000" w:rsidRDefault="00000000" w:rsidRPr="00000000" w14:paraId="00000062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Special meter read: $XX.XX</w:t>
      </w:r>
    </w:p>
    <w:p w:rsidR="00000000" w:rsidDel="00000000" w:rsidP="00000000" w:rsidRDefault="00000000" w:rsidRPr="00000000" w14:paraId="00000063">
      <w:pPr>
        <w:numPr>
          <w:ilvl w:val="0"/>
          <w:numId w:val="2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Paper bill fee: $X.XX per bill</w:t>
      </w:r>
    </w:p>
    <w:p w:rsidR="00000000" w:rsidDel="00000000" w:rsidP="00000000" w:rsidRDefault="00000000" w:rsidRPr="00000000" w14:paraId="00000064">
      <w:pPr>
        <w:numPr>
          <w:ilvl w:val="0"/>
          <w:numId w:val="2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Dishonour fee: Pass-through bank fee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Note: All amounts include GST. This schedule may be varied as permitted by energy law. We will notify you of any changes as required.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2 – Early Termination and Adjustments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Template clauses for:</w:t>
      </w:r>
    </w:p>
    <w:p w:rsidR="00000000" w:rsidDel="00000000" w:rsidP="00000000" w:rsidRDefault="00000000" w:rsidRPr="00000000" w14:paraId="00000068">
      <w:pPr>
        <w:numPr>
          <w:ilvl w:val="0"/>
          <w:numId w:val="2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Early exit (move out/changing retailer).</w:t>
      </w:r>
    </w:p>
    <w:p w:rsidR="00000000" w:rsidDel="00000000" w:rsidP="00000000" w:rsidRDefault="00000000" w:rsidRPr="00000000" w14:paraId="00000069">
      <w:pPr>
        <w:numPr>
          <w:ilvl w:val="0"/>
          <w:numId w:val="23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Early termination charge calculation method (e.g. capped, declining balance, or “reasonable estimate” – to be set by your lawyers).</w:t>
      </w:r>
    </w:p>
    <w:p w:rsidR="00000000" w:rsidDel="00000000" w:rsidP="00000000" w:rsidRDefault="00000000" w:rsidRPr="00000000" w14:paraId="0000006A">
      <w:pPr>
        <w:numPr>
          <w:ilvl w:val="0"/>
          <w:numId w:val="2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Treatment where regulatory changes make Bill Free unviable – offer alternate plan or terminate Bill Free only.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3 – Useful Contacts (NSW and QLD)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List:</w:t>
      </w:r>
    </w:p>
    <w:p w:rsidR="00000000" w:rsidDel="00000000" w:rsidP="00000000" w:rsidRDefault="00000000" w:rsidRPr="00000000" w14:paraId="0000006D">
      <w:pPr>
        <w:numPr>
          <w:ilvl w:val="0"/>
          <w:numId w:val="1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HighFlow Energy contacts (phone, email, postal).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NSW distributors: Ausgrid, Endeavour Energy, Essential Energy + URLs.</w:t>
      </w:r>
    </w:p>
    <w:p w:rsidR="00000000" w:rsidDel="00000000" w:rsidP="00000000" w:rsidRDefault="00000000" w:rsidRPr="00000000" w14:paraId="0000006F">
      <w:pPr>
        <w:numPr>
          <w:ilvl w:val="0"/>
          <w:numId w:val="19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QLD distributors: Energex, Ergon Energy Network.</w:t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Ombudsmen: EWON (1800 246 545, www.ewon.com.au), EWOQ (1800 662 837, www.ewoq.com.au).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